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2" w:hanging="142"/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Паспорт </w:t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инвестиционной площадки</w:t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под ИЖС, Анжеро-Судженск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Cs/>
          <w:i/>
          <w:iCs/>
          <w:lang w:eastAsia="en-us"/>
        </w:rPr>
      </w:pPr>
      <w:r>
        <w:rPr>
          <w:rFonts w:ascii="Times New Roman" w:hAnsi="Times New Roman" w:eastAsia="Calibri"/>
          <w:bCs/>
          <w:i/>
          <w:iCs/>
          <w:lang w:eastAsia="en-us"/>
        </w:rPr>
        <w:t>Рекомендуемый</w:t>
      </w:r>
      <w:r>
        <w:rPr>
          <w:rFonts w:ascii="Times New Roman" w:hAnsi="Times New Roman" w:eastAsia="Calibri"/>
          <w:bCs/>
          <w:i/>
          <w:iCs/>
          <w:lang w:eastAsia="en-us"/>
        </w:rPr>
        <w:t xml:space="preserve"> формат наименования инвестиционной площадки: МО, наименования площадки</w:t>
      </w:r>
      <w:r>
        <w:rPr>
          <w:rFonts w:ascii="Times New Roman" w:hAnsi="Times New Roman" w:eastAsia="Calibri"/>
          <w:bCs/>
          <w:i/>
          <w:iCs/>
          <w:lang w:eastAsia="en-us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Название площадки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Инвестиционная площадка - Для индивидуального жилищного строительства: размещение индивидуального жилого дома (дом, пригодный для постоянного проживания, высотой не выше трех надземных этажей), Малоэтажная многоквартирная жилая застройка: размещение малоэтажного многоквартирного жилого дома (дом, пригодный для постоянного проживания, высотой до 4 этажей, включая мансардный)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0" w:name="Флажок1 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0"/>
            <w:r>
              <w:rPr>
                <w:rFonts w:ascii="Times New Roman" w:hAnsi="Times New Roman" w:eastAsia="Calibri"/>
                <w:lang w:eastAsia="en-us"/>
              </w:rPr>
              <w:t xml:space="preserve">  административно-торговая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" w:name="Флажок 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"/>
            <w:r>
              <w:rPr>
                <w:rFonts w:ascii="Times New Roman" w:hAnsi="Times New Roman" w:eastAsia="Calibri"/>
                <w:lang w:eastAsia="en-us"/>
              </w:rPr>
              <w:t xml:space="preserve">  промышленная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" w:name="Флажок 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"/>
            <w:r>
              <w:rPr>
                <w:rFonts w:ascii="Times New Roman" w:hAnsi="Times New Roman" w:eastAsia="Calibri"/>
                <w:lang w:eastAsia="en-us"/>
              </w:rPr>
              <w:t xml:space="preserve">  транспортно-логистическая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bookmarkStart w:id="3" w:name="Флажок1"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"/>
            <w:r/>
            <w:r>
              <w:rPr>
                <w:rFonts w:ascii="Times New Roman" w:hAnsi="Times New Roman" w:eastAsia="Calibri"/>
                <w:lang w:eastAsia="en-us"/>
              </w:rPr>
              <w:t xml:space="preserve">  жилищная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4" w:name="Флажок 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4"/>
            <w:r>
              <w:rPr>
                <w:rFonts w:ascii="Times New Roman" w:hAnsi="Times New Roman" w:eastAsia="Calibri"/>
                <w:lang w:eastAsia="en-us"/>
              </w:rPr>
              <w:t xml:space="preserve">  иная (Земли запаса-неиспользуемые</w:t>
            </w:r>
            <w:r>
              <w:rPr>
                <w:rFonts w:ascii="Times New Roman" w:hAnsi="Times New Roman" w:eastAsia="Calibri"/>
                <w:lang w:eastAsia="en-us"/>
              </w:rPr>
              <w:t>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1. Положение и окружение инвестиционной площадки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10034" w:type="dxa"/>
        <w:tblLook w:val="04A0" w:firstRow="1" w:lastRow="0" w:firstColumn="1" w:lastColumn="0" w:noHBand="0" w:noVBand="1"/>
      </w:tblPr>
      <w:tblGrid>
        <w:gridCol w:w="3673"/>
        <w:gridCol w:w="6361"/>
      </w:tblGrid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Кемеровская область - Кузбасс, Анжеро-Судженский городской округ, ул. Пушкина, 52а</w:t>
            </w:r>
          </w:p>
        </w:tc>
      </w:tr>
      <w:tr>
        <w:trPr>
          <w:cantSplit w:val="0"/>
          <w:trHeight w:val="0" w:hRule="auto"/>
        </w:trPr>
        <w:tc>
          <w:tcPr>
            <w:tcW w:w="1003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объектов (в км):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г. Кемерово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113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18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прямой 0,02 км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дорогам общего пользования 0,02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5" w:name="Флажок 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5"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6" w:name="Флажок 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6"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_____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7" w:name="Флажок 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7"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8" w:name="Флажок 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8"/>
            <w:r>
              <w:rPr>
                <w:rFonts w:ascii="Times New Roman" w:hAnsi="Times New Roman" w:eastAsia="Calibri"/>
                <w:lang w:eastAsia="en-us"/>
              </w:rPr>
              <w:t xml:space="preserve">  наличие ограничений (нагрузка на ось, высота)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____________________________________________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0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9" w:name="Флажок 1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9"/>
            <w:r>
              <w:rPr>
                <w:rFonts w:ascii="Times New Roman" w:hAnsi="Times New Roman" w:eastAsia="Calibri"/>
                <w:lang w:eastAsia="en-us"/>
              </w:rPr>
              <w:t xml:space="preserve">   асфальтовое покрытие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0" w:name="Флажок 1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0"/>
            <w:r>
              <w:rPr>
                <w:rFonts w:ascii="Times New Roman" w:hAnsi="Times New Roman" w:eastAsia="Calibri"/>
                <w:lang w:eastAsia="en-us"/>
              </w:rPr>
              <w:t xml:space="preserve">   грунтовое покрытие 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Иное___________________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1" w:name="Флажок 1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1"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2" w:name="Флажок 1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2"/>
            <w:r>
              <w:rPr>
                <w:rFonts w:ascii="Times New Roman" w:hAnsi="Times New Roman" w:eastAsia="Calibri"/>
                <w:lang w:eastAsia="en-us"/>
              </w:rPr>
              <w:t xml:space="preserve">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3" w:name="Флажок 1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3"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25,5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4" w:name="Флажок 1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4"/>
            <w:r>
              <w:rPr>
                <w:rFonts w:ascii="Times New Roman" w:hAnsi="Times New Roman" w:eastAsia="Calibri"/>
                <w:lang w:eastAsia="en-us"/>
              </w:rPr>
              <w:t xml:space="preserve">  наличие точки примыкания к ж/д путям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5" w:name="Флажок 1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5"/>
            <w:r>
              <w:rPr>
                <w:rFonts w:ascii="Times New Roman" w:hAnsi="Times New Roman" w:eastAsia="Calibri"/>
                <w:lang w:eastAsia="en-us"/>
              </w:rPr>
              <w:t xml:space="preserve">  наличие ж/д тупика на территории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Вместимость вагонов в тупике в шт.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Общее состояние ж/д ветки 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Текущая пригодность ж/д ветки для приёма вагонов________________________________________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Необходимость ремонта (да/нет)_________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близлежащей станции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Пропускная способность (вагонов в сутки / в месяц)          в шт. _____/_______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Загруженность в %_________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109,2км Название аэропорта Международный аэропорт Кемерово им. А.А. Леонова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25 км. № полигона в ГРОРО 42-00322-З-00552-070715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Ровная 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2. Правовой статус инвестиционной площадки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собственности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6" w:name="Флажок 1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6"/>
            <w:r>
              <w:rPr>
                <w:rFonts w:ascii="Times New Roman" w:hAnsi="Times New Roman" w:eastAsia="Calibri"/>
                <w:lang w:eastAsia="en-us"/>
              </w:rPr>
              <w:t xml:space="preserve">  муниципальная собственность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7" w:name="Флажок 1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7"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Кемеровской области - Кузбасса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8" w:name="Флажок 1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8"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Российской Федерации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9" w:name="Флажок 2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9"/>
            <w:r>
              <w:rPr>
                <w:rFonts w:ascii="Times New Roman" w:hAnsi="Times New Roman" w:eastAsia="Calibri"/>
                <w:lang w:eastAsia="en-us"/>
              </w:rPr>
              <w:t xml:space="preserve">  частная собственность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0" w:name="Флажок 2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0"/>
            <w:r>
              <w:rPr>
                <w:rFonts w:ascii="Times New Roman" w:hAnsi="Times New Roman" w:eastAsia="Calibri"/>
                <w:lang w:eastAsia="en-us"/>
              </w:rPr>
              <w:t>  собственность на земельный участок не разграничена</w:t>
            </w:r>
          </w:p>
        </w:tc>
      </w:tr>
      <w:tr>
        <w:trPr>
          <w:cantSplit w:val="0"/>
          <w:trHeight w:val="2895" w:hRule="atLeast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Категория земель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1" w:name="Флажок 2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1"/>
            <w:r>
              <w:rPr>
                <w:rFonts w:ascii="Times New Roman" w:hAnsi="Times New Roman" w:eastAsia="Calibri"/>
                <w:lang w:eastAsia="en-us"/>
              </w:rPr>
              <w:t xml:space="preserve">  земли населенных пунктов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2" w:name="Флажок 2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2"/>
            <w:r>
              <w:rPr>
                <w:rFonts w:ascii="Times New Roman" w:hAnsi="Times New Roman" w:eastAsia="Calibri"/>
                <w:lang w:eastAsia="en-us"/>
              </w:rPr>
              <w:t>  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3" w:name="Флажок 2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3"/>
            <w:r>
              <w:rPr>
                <w:rFonts w:ascii="Times New Roman" w:hAnsi="Times New Roman" w:eastAsia="Calibri"/>
                <w:lang w:eastAsia="en-us"/>
              </w:rPr>
              <w:t xml:space="preserve">  земли сельскохозяйственного назначения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4" w:name="Флажок 2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4"/>
            <w:r>
              <w:rPr>
                <w:rFonts w:ascii="Times New Roman" w:hAnsi="Times New Roman" w:eastAsia="Calibri"/>
                <w:lang w:eastAsia="en-us"/>
              </w:rPr>
              <w:t xml:space="preserve">  земли особо охраняемых территорий и объектов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5" w:name="Флажок 2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5"/>
            <w:r>
              <w:rPr>
                <w:rFonts w:ascii="Times New Roman" w:hAnsi="Times New Roman" w:eastAsia="Calibri"/>
                <w:lang w:eastAsia="en-us"/>
              </w:rPr>
              <w:t xml:space="preserve">  земли лесного фонда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6" w:name="Флажок 2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6"/>
            <w:r>
              <w:rPr>
                <w:rFonts w:ascii="Times New Roman" w:hAnsi="Times New Roman" w:eastAsia="Calibri"/>
                <w:lang w:eastAsia="en-us"/>
              </w:rPr>
              <w:t xml:space="preserve">  земли водного фонда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7" w:name="Флажок 2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7"/>
            <w:r>
              <w:rPr>
                <w:rFonts w:ascii="Times New Roman" w:hAnsi="Times New Roman" w:eastAsia="Calibri"/>
                <w:lang w:eastAsia="en-us"/>
              </w:rPr>
              <w:t xml:space="preserve">  земли запаса</w:t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9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8" w:name="Флажок 2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8"/>
            <w:r>
              <w:rPr>
                <w:rFonts w:ascii="Times New Roman" w:hAnsi="Times New Roman" w:eastAsia="Calibri"/>
                <w:lang w:eastAsia="en-us"/>
              </w:rPr>
              <w:t xml:space="preserve">  проведено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9" w:name="Флажок 3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9"/>
            <w:r>
              <w:rPr>
                <w:rFonts w:ascii="Times New Roman" w:hAnsi="Times New Roman" w:eastAsia="Calibri"/>
                <w:lang w:eastAsia="en-us"/>
              </w:rPr>
              <w:t xml:space="preserve">  не проведено</w:t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42:20:0102034:1180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3. Характеристика территории инвестиционной площадки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4"/>
        <w:tabOrder w:val="0"/>
        <w:jc w:val="left"/>
        <w:tblInd w:w="0" w:type="dxa"/>
        <w:tblW w:w="10044" w:type="dxa"/>
        <w:tblLook w:val="04A0" w:firstRow="1" w:lastRow="0" w:firstColumn="1" w:lastColumn="0" w:noHBand="0" w:noVBand="1"/>
      </w:tblPr>
      <w:tblGrid>
        <w:gridCol w:w="4388"/>
        <w:gridCol w:w="5656"/>
      </w:tblGrid>
      <w:tr>
        <w:trPr>
          <w:cantSplit w:val="0"/>
          <w:trHeight w:val="268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Площадь, в га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firstLine="708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0,69</w:t>
            </w:r>
          </w:p>
        </w:tc>
      </w:tr>
      <w:tr>
        <w:trPr>
          <w:cantSplit w:val="0"/>
          <w:trHeight w:val="567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расширения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30" w:name="Флажок 3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0"/>
            <w:r>
              <w:rPr>
                <w:rFonts w:ascii="Times New Roman" w:hAnsi="Times New Roman" w:eastAsia="Calibri"/>
                <w:lang w:eastAsia="en-us"/>
              </w:rPr>
              <w:t xml:space="preserve">  есть (до га)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1" w:name="Флажок 3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1"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</w:p>
        </w:tc>
      </w:tr>
      <w:tr>
        <w:trPr>
          <w:cantSplit w:val="0"/>
          <w:trHeight w:val="1355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Стоимость ориентировочная, тыс</w:t>
            </w:r>
            <w:r>
              <w:rPr>
                <w:rFonts w:ascii="Times New Roman" w:hAnsi="Times New Roman" w:eastAsia="Calibri"/>
                <w:lang w:eastAsia="en-us"/>
              </w:rPr>
              <w:t>.р</w:t>
            </w:r>
            <w:r>
              <w:rPr>
                <w:rFonts w:ascii="Times New Roman" w:hAnsi="Times New Roman" w:eastAsia="Calibri"/>
                <w:lang w:eastAsia="en-us"/>
              </w:rPr>
              <w:t>уб</w:t>
            </w:r>
            <w:r>
              <w:rPr>
                <w:rFonts w:ascii="Times New Roman" w:hAnsi="Times New Roman" w:eastAsia="Calibri"/>
                <w:lang w:eastAsia="en-us"/>
              </w:rPr>
              <w:t>.</w:t>
            </w: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Приобретения  2 288, 6</w:t>
            </w:r>
            <w:r>
              <w:rPr>
                <w:rFonts w:ascii="Calibri" w:hAnsi="Calibri" w:cs="Calibri"/>
                <w:color w:val="000000"/>
                <w:shd w:val="clear" w:fill="f8f9fa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Аренды в месяц 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1637" w:hRule="atLeast"/>
        </w:trPr>
        <w:tc>
          <w:tcPr>
            <w:tcW w:w="43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Возможные меры поддержки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3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2" w:name="Флажок 3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2"/>
            <w:r>
              <w:rPr>
                <w:rFonts w:ascii="Times New Roman" w:hAnsi="Times New Roman" w:eastAsia="Calibri"/>
                <w:lang w:eastAsia="en-us"/>
              </w:rPr>
              <w:t xml:space="preserve"> ТОСЭР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33" w:name="Флажок 3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3"/>
            <w:r>
              <w:rPr>
                <w:rFonts w:ascii="Times New Roman" w:hAnsi="Times New Roman" w:eastAsia="Calibri"/>
                <w:lang w:eastAsia="en-us"/>
              </w:rPr>
              <w:t>ОЭЗ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5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4" w:name="Флажок 3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4"/>
            <w:r>
              <w:rPr>
                <w:rFonts w:ascii="Times New Roman" w:hAnsi="Times New Roman" w:eastAsia="Calibri"/>
                <w:lang w:eastAsia="en-us"/>
              </w:rPr>
              <w:t xml:space="preserve"> ФРМ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5" w:name="Флажок 3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5"/>
            <w:r>
              <w:rPr>
                <w:rFonts w:ascii="Times New Roman" w:hAnsi="Times New Roman" w:eastAsia="Calibri"/>
                <w:lang w:eastAsia="en-us"/>
              </w:rPr>
              <w:t xml:space="preserve">Другие МКК Госфонд Кемеровской области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4. Характеристика инженерной инфраструктуры инвестиционной площадки</w:t>
      </w:r>
      <w:r>
        <w:rPr>
          <w:rFonts w:ascii="Times New Roman" w:hAnsi="Times New Roman" w:eastAsia="Calibri"/>
          <w:b/>
          <w:lang w:eastAsia="en-us"/>
        </w:rPr>
        <w:t>*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5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>
        <w:trPr>
          <w:cantSplit w:val="0"/>
          <w:trHeight w:val="270" w:hRule="atLeast"/>
        </w:trPr>
        <w:tc>
          <w:tcPr>
            <w:tcW w:w="138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ind w:left="-108"/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присоединения, м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both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>
        <w:trPr>
          <w:cantSplit w:val="0"/>
          <w:trHeight w:val="222" w:hRule="atLeast"/>
        </w:trPr>
        <w:tc>
          <w:tcPr>
            <w:tcW w:w="138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/>
        </w:tc>
        <w:tc>
          <w:tcPr>
            <w:tcW w:w="851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/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33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289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540кВт(без учета строительства новых ТП)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11,26-11,64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руб./кВтч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ПАО "Кузбассэнергосбыт"</w:t>
            </w:r>
          </w:p>
        </w:tc>
      </w:tr>
      <w:tr>
        <w:trPr>
          <w:cantSplit w:val="0"/>
          <w:trHeight w:val="280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определяется согласно договора на тех.присоединение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60,37</w:t>
            </w:r>
          </w:p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руб./куб.м.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  <w:tr>
        <w:trPr>
          <w:cantSplit w:val="0"/>
          <w:trHeight w:val="26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/>
            <w: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  <w:r/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определяется согласно договора на тех.присоединение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49,98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</w:tbl>
    <w:p>
      <w:pPr>
        <w:rPr>
          <w:rFonts w:ascii="Times New Roman" w:hAnsi="Times New Roman" w:eastAsia="Calibri"/>
          <w:b/>
          <w:sz w:val="20"/>
          <w:lang w:eastAsia="en-us"/>
        </w:rPr>
      </w:pPr>
      <w:r>
        <w:rPr>
          <w:rFonts w:ascii="Times New Roman" w:hAnsi="Times New Roman" w:eastAsia="Calibri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5. Основные параметры расположенных на площадке зданий и сооружений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7"/>
      </w:r>
      <w:r>
        <w:rPr>
          <w:rFonts w:ascii="Times New Roman" w:hAnsi="Times New Roman" w:eastAsia="Calibri"/>
          <w:b/>
          <w:lang w:eastAsia="en-us"/>
        </w:rPr>
        <w:t xml:space="preserve">: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6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Наименование здания/</w:t>
            </w:r>
          </w:p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сооружения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Площадь, 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Этажность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Высота этажа, м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Состояние, степень износа, %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Возможность расширения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tabs defTabSz="708">
          <w:tab w:val="left" w:pos="851" w:leader="none"/>
        </w:tabs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6. Характеристика доступной ресурсно-сырьевой базы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8"/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7"/>
        <w:tabOrder w:val="0"/>
        <w:tblpPr w:horzAnchor="margin" w:vertAnchor="text" w:tblpY="83" w:leftFromText="180" w:rightFromText="180" w:topFromText="0" w:bottomFromText="160"/>
        <w:tblOverlap w:val="never"/>
        <w:jc w:val="left"/>
        <w:tblInd w:w="0" w:type="dxa"/>
        <w:tblW w:w="10065" w:type="dxa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Вид ресурсов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Статус месторождения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каменный уголь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геологические запасы более 1,5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месторожде</w:t>
              <w:softHyphen/>
              <w:t>ния Яшкинского и Кемеровского районов, от р. Кайгур до г. Анжеро-Судженска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700" w:hRule="atLeast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Барзасское месторождение (Единисский, Суховский, Глухаринский, Гавриловский, Золото-Китатский участки, на территории Кемеровского, Яйского и Ижморского районов, от р. Барзас до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междуречье р. Алчедат и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 xml:space="preserve">Пгт. Рудничный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(Китатское месторождение, террито</w:t>
              <w:softHyphen/>
              <w:t>рия Яйского района, по реке Китат между пос. Улановка и пос. Вознесенка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Ижморского и Верх-Чебулинского районов, от р. Кайгагат до р. Заломная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расположено в 9 км от ст. Анжерская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месторождения Баранцовское (160 т. тн); Тайгинское (2246 т.тн); Халдеевское (25 т.тн.);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Яйского, Яшкинского районов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7. Трудовые ресурсы</w:t>
      </w:r>
    </w:p>
    <w:tbl>
      <w:tblPr>
        <w:tblStyle w:val="NormalTable"/>
        <w:name w:val="Таблица8"/>
        <w:tabOrder w:val="0"/>
        <w:jc w:val="left"/>
        <w:tblInd w:w="-5" w:type="dxa"/>
        <w:tblW w:w="10065" w:type="dxa"/>
        <w:pPr>
          <w:ind w:left="-5"/>
        </w:pPr>
        <w:tblLook w:val="0000" w:firstRow="0" w:lastRow="0" w:firstColumn="0" w:lastColumn="0" w:noHBand="0" w:noVBand="0"/>
      </w:tblPr>
      <w:tblGrid>
        <w:gridCol w:w="4395"/>
        <w:gridCol w:w="5670"/>
      </w:tblGrid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68275</w:t>
            </w:r>
          </w:p>
        </w:tc>
      </w:tr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38376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8. Сведения о владельце (собственнике) площадки:</w:t>
      </w:r>
    </w:p>
    <w:tbl>
      <w:tblPr>
        <w:tblStyle w:val="NormalTable"/>
        <w:name w:val="Таблица9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Владелец (собственник)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>
        <w:trPr>
          <w:cantSplit w:val="0"/>
          <w:trHeight w:val="1178" w:hRule="atLeast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Форма владения (использования) землей (и) и зданиями(ий) (собственность, аренда, др.)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собственность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Контактное лицо: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Ф.И.О., должность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Чемякин Илья Владимирович, начальник управления экономического развития, промышленности и предпринимательства 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Телефон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8-908-930-5042 ; 8(3845) 6-12-79 ; 8(3845)6-56-17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  <w:t>e</w:t>
            </w:r>
            <w:r>
              <w:rPr>
                <w:rFonts w:ascii="Times New Roman" w:hAnsi="Times New Roman" w:eastAsia="Calibri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val="en-us" w:eastAsia="en-us"/>
              </w:rPr>
              <w:t>mail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542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hyperlink r:id="rId9" w:history="1">
              <w:r>
                <w:rPr>
                  <w:rStyle w:val="char4"/>
                  <w:rFonts w:ascii="Times New Roman" w:hAnsi="Times New Roman"/>
                  <w:sz w:val="22"/>
                </w:rPr>
                <w:t>upp@anzhero.ru</w:t>
              </w:r>
            </w:hyperlink>
            <w:r>
              <w:rPr>
                <w:rFonts w:ascii="Times New Roman" w:hAnsi="Times New Roman"/>
              </w:rPr>
              <w:t xml:space="preserve"> ; </w:t>
            </w:r>
            <w:hyperlink r:id="rId10" w:history="1">
              <w:r>
                <w:rPr>
                  <w:rStyle w:val="char4"/>
                  <w:rFonts w:ascii="Times New Roman" w:hAnsi="Times New Roman"/>
                </w:rPr>
                <w:t>promotdel@anzhero.ru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992" w:top="1134" w:right="851" w:bottom="1134" w:header="0" w:footer="0"/>
          <w:paperSrc w:first="0" w:other="0" a="0" b="0"/>
          <w:pgNumType w:fmt="decimal" w:start="0"/>
          <w:titlePg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/>
      <w:r>
        <w:rPr>
          <w:noProof/>
        </w:rPr>
        <w:drawing>
          <wp:inline distT="0" distB="0" distL="0" distR="0">
            <wp:extent cx="9102090" cy="580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">
                          <sm:smNativeData xmlns:sm="sm" val="SMDATA_16_tg3u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FwEAAGEFAADrAQAA8AE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lAAAAB6AAAAAAAAAAAAAAAAAAAAAAAAAAAAAAAAAAAAAAAAAAAAAA/jcAAK8j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rcRect l="2790" t="13770" r="4910" b="4960"/>
                    <a:stretch>
                      <a:fillRect/>
                    </a:stretch>
                  </pic:blipFill>
                  <pic:spPr>
                    <a:xfrm>
                      <a:off x="0" y="0"/>
                      <a:ext cx="9102090" cy="58007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Достоверность подтверждаю ________________________________ /________________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993" w:right="1134" w:bottom="850" w:header="0" w:footer="0"/>
      <w:paperSrc w:first="0" w:other="0" a="0" b="0"/>
      <w:pgNumType w:fmt="decimal" w:start="0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Segoe U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37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 xml:space="preserve"> Заполняется по каждому объекту недвижимости </w:t>
      </w:r>
    </w:p>
  </w:footnote>
  <w:footnote w:id="38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start w:val="6"/>
      <w:numFmt w:val="decimal"/>
      <w:suff w:val="tab"/>
      <w:lvlText w:val="%1."/>
      <w:lvlJc w:val="left"/>
      <w:pPr>
        <w:ind w:left="714" w:hanging="0"/>
      </w:pPr>
    </w:lvl>
    <w:lvl w:ilvl="1">
      <w:start w:val="1"/>
      <w:numFmt w:val="lowerLetter"/>
      <w:suff w:val="tab"/>
      <w:lvlText w:val="%2."/>
      <w:lvlJc w:val="left"/>
      <w:pPr>
        <w:ind w:left="1434" w:hanging="0"/>
      </w:pPr>
    </w:lvl>
    <w:lvl w:ilvl="2">
      <w:start w:val="1"/>
      <w:numFmt w:val="lowerRoman"/>
      <w:suff w:val="tab"/>
      <w:lvlText w:val="%3."/>
      <w:lvlJc w:val="right"/>
      <w:pPr>
        <w:ind w:left="2334" w:hanging="0"/>
      </w:pPr>
    </w:lvl>
    <w:lvl w:ilvl="3">
      <w:start w:val="1"/>
      <w:numFmt w:val="decimal"/>
      <w:suff w:val="tab"/>
      <w:lvlText w:val="%4."/>
      <w:lvlJc w:val="left"/>
      <w:pPr>
        <w:ind w:left="2874" w:hanging="0"/>
      </w:pPr>
    </w:lvl>
    <w:lvl w:ilvl="4">
      <w:start w:val="1"/>
      <w:numFmt w:val="lowerLetter"/>
      <w:suff w:val="tab"/>
      <w:lvlText w:val="%5."/>
      <w:lvlJc w:val="left"/>
      <w:pPr>
        <w:ind w:left="3594" w:hanging="0"/>
      </w:pPr>
    </w:lvl>
    <w:lvl w:ilvl="5">
      <w:start w:val="1"/>
      <w:numFmt w:val="lowerRoman"/>
      <w:suff w:val="tab"/>
      <w:lvlText w:val="%6."/>
      <w:lvlJc w:val="right"/>
      <w:pPr>
        <w:ind w:left="4494" w:hanging="0"/>
      </w:pPr>
    </w:lvl>
    <w:lvl w:ilvl="6">
      <w:start w:val="1"/>
      <w:numFmt w:val="decimal"/>
      <w:suff w:val="tab"/>
      <w:lvlText w:val="%7."/>
      <w:lvlJc w:val="left"/>
      <w:pPr>
        <w:ind w:left="5034" w:hanging="0"/>
      </w:pPr>
    </w:lvl>
    <w:lvl w:ilvl="7">
      <w:start w:val="1"/>
      <w:numFmt w:val="lowerLetter"/>
      <w:suff w:val="tab"/>
      <w:lvlText w:val="%8."/>
      <w:lvlJc w:val="left"/>
      <w:pPr>
        <w:ind w:left="5754" w:hanging="0"/>
      </w:pPr>
    </w:lvl>
    <w:lvl w:ilvl="8">
      <w:start w:val="1"/>
      <w:numFmt w:val="lowerRoman"/>
      <w:suff w:val="tab"/>
      <w:lvlText w:val="%9."/>
      <w:lvlJc w:val="right"/>
      <w:pPr>
        <w:ind w:left="6654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5671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132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0431542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yperlink" Target="mailto:upp@anzhero.ru" TargetMode="External"/><Relationship Id="rId10" Type="http://schemas.openxmlformats.org/officeDocument/2006/relationships/hyperlink" Target="mailto:promotdel@anzhero.ru" TargetMode="Externa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keywords/>
  <dc:description/>
  <cp:lastModifiedBy/>
  <cp:revision>7</cp:revision>
  <cp:lastPrinted>2022-12-28T08:11:00Z</cp:lastPrinted>
  <dcterms:created xsi:type="dcterms:W3CDTF">2022-12-28T06:53:00Z</dcterms:created>
  <dcterms:modified xsi:type="dcterms:W3CDTF">2025-10-14T08:45:42Z</dcterms:modified>
</cp:coreProperties>
</file>